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EC45B" w14:textId="77777777" w:rsidR="00B96D82" w:rsidRDefault="00B96D82">
      <w:pPr>
        <w:rPr>
          <w:rFonts w:ascii="Arial" w:hAnsi="Arial" w:cs="Arial"/>
          <w:b/>
          <w:bCs/>
          <w:sz w:val="24"/>
          <w:szCs w:val="24"/>
        </w:rPr>
      </w:pPr>
    </w:p>
    <w:p w14:paraId="137A7986" w14:textId="4224BF6E" w:rsidR="00BF0DB2" w:rsidRPr="00FA1D18" w:rsidRDefault="002F2533">
      <w:pPr>
        <w:rPr>
          <w:rFonts w:ascii="Arial" w:hAnsi="Arial" w:cs="Arial"/>
          <w:sz w:val="24"/>
          <w:szCs w:val="24"/>
        </w:rPr>
      </w:pPr>
      <w:r>
        <w:rPr>
          <w:rFonts w:ascii="Arial" w:hAnsi="Arial" w:cs="Arial"/>
          <w:b/>
          <w:bCs/>
          <w:sz w:val="24"/>
          <w:szCs w:val="24"/>
        </w:rPr>
        <w:t xml:space="preserve">Paule Hjertaas’s </w:t>
      </w:r>
      <w:r w:rsidR="00BF0DB2">
        <w:rPr>
          <w:rFonts w:ascii="Arial" w:hAnsi="Arial" w:cs="Arial"/>
          <w:b/>
          <w:bCs/>
          <w:sz w:val="24"/>
          <w:szCs w:val="24"/>
        </w:rPr>
        <w:t xml:space="preserve">Comment: </w:t>
      </w:r>
      <w:r w:rsidR="00FA1D18" w:rsidRPr="00FA1D18">
        <w:rPr>
          <w:rFonts w:ascii="Arial" w:hAnsi="Arial" w:cs="Arial"/>
          <w:sz w:val="24"/>
          <w:szCs w:val="24"/>
        </w:rPr>
        <w:t xml:space="preserve">the US EPA </w:t>
      </w:r>
      <w:proofErr w:type="spellStart"/>
      <w:r w:rsidR="00FA1D18" w:rsidRPr="00FA1D18">
        <w:rPr>
          <w:rFonts w:ascii="Arial" w:hAnsi="Arial" w:cs="Arial"/>
          <w:sz w:val="24"/>
          <w:szCs w:val="24"/>
        </w:rPr>
        <w:t>toxcast</w:t>
      </w:r>
      <w:proofErr w:type="spellEnd"/>
      <w:r w:rsidR="00FA1D18" w:rsidRPr="00FA1D18">
        <w:rPr>
          <w:rFonts w:ascii="Arial" w:hAnsi="Arial" w:cs="Arial"/>
          <w:sz w:val="24"/>
          <w:szCs w:val="24"/>
        </w:rPr>
        <w:t xml:space="preserve"> reference </w:t>
      </w:r>
      <w:r>
        <w:rPr>
          <w:rFonts w:ascii="Arial" w:hAnsi="Arial" w:cs="Arial"/>
          <w:sz w:val="24"/>
          <w:szCs w:val="24"/>
        </w:rPr>
        <w:t xml:space="preserve">below </w:t>
      </w:r>
      <w:r w:rsidR="00FA1D18" w:rsidRPr="00FA1D18">
        <w:rPr>
          <w:rFonts w:ascii="Arial" w:hAnsi="Arial" w:cs="Arial"/>
          <w:sz w:val="24"/>
          <w:szCs w:val="24"/>
        </w:rPr>
        <w:t xml:space="preserve">is complicated and would require more knowledge than I </w:t>
      </w:r>
      <w:proofErr w:type="gramStart"/>
      <w:r w:rsidR="00FA1D18" w:rsidRPr="00FA1D18">
        <w:rPr>
          <w:rFonts w:ascii="Arial" w:hAnsi="Arial" w:cs="Arial"/>
          <w:sz w:val="24"/>
          <w:szCs w:val="24"/>
        </w:rPr>
        <w:t>have to</w:t>
      </w:r>
      <w:proofErr w:type="gramEnd"/>
      <w:r w:rsidR="00FA1D18" w:rsidRPr="00FA1D18">
        <w:rPr>
          <w:rFonts w:ascii="Arial" w:hAnsi="Arial" w:cs="Arial"/>
          <w:sz w:val="24"/>
          <w:szCs w:val="24"/>
        </w:rPr>
        <w:t xml:space="preserve"> use.</w:t>
      </w:r>
      <w:r w:rsidR="00FA1D18">
        <w:rPr>
          <w:rFonts w:ascii="Arial" w:hAnsi="Arial" w:cs="Arial"/>
          <w:sz w:val="24"/>
          <w:szCs w:val="24"/>
        </w:rPr>
        <w:t xml:space="preserve"> </w:t>
      </w:r>
      <w:proofErr w:type="gramStart"/>
      <w:r w:rsidR="000E0122">
        <w:rPr>
          <w:rFonts w:ascii="Arial" w:hAnsi="Arial" w:cs="Arial"/>
          <w:sz w:val="24"/>
          <w:szCs w:val="24"/>
        </w:rPr>
        <w:t>( Meg</w:t>
      </w:r>
      <w:proofErr w:type="gramEnd"/>
      <w:r w:rsidR="00B630FA">
        <w:rPr>
          <w:rFonts w:ascii="Arial" w:hAnsi="Arial" w:cs="Arial"/>
          <w:sz w:val="24"/>
          <w:szCs w:val="24"/>
        </w:rPr>
        <w:t>?)</w:t>
      </w:r>
      <w:r w:rsidR="00FA1D18">
        <w:rPr>
          <w:rFonts w:ascii="Arial" w:hAnsi="Arial" w:cs="Arial"/>
          <w:sz w:val="24"/>
          <w:szCs w:val="24"/>
        </w:rPr>
        <w:t xml:space="preserve"> </w:t>
      </w:r>
      <w:r w:rsidR="00695BB6">
        <w:rPr>
          <w:rFonts w:ascii="Arial" w:hAnsi="Arial" w:cs="Arial"/>
          <w:sz w:val="24"/>
          <w:szCs w:val="24"/>
        </w:rPr>
        <w:t xml:space="preserve">Seems to me from this article that the </w:t>
      </w:r>
      <w:r w:rsidR="00B630FA">
        <w:rPr>
          <w:rFonts w:ascii="Arial" w:hAnsi="Arial" w:cs="Arial"/>
          <w:sz w:val="24"/>
          <w:szCs w:val="24"/>
        </w:rPr>
        <w:t xml:space="preserve">‘regulatory’ </w:t>
      </w:r>
      <w:r w:rsidR="00695BB6">
        <w:rPr>
          <w:rFonts w:ascii="Arial" w:hAnsi="Arial" w:cs="Arial"/>
          <w:sz w:val="24"/>
          <w:szCs w:val="24"/>
        </w:rPr>
        <w:t>studies pesticide</w:t>
      </w:r>
      <w:r w:rsidR="00D31161">
        <w:rPr>
          <w:rFonts w:ascii="Arial" w:hAnsi="Arial" w:cs="Arial"/>
          <w:sz w:val="24"/>
          <w:szCs w:val="24"/>
        </w:rPr>
        <w:t xml:space="preserve"> toxicity </w:t>
      </w:r>
      <w:proofErr w:type="gramStart"/>
      <w:r w:rsidR="00D31161">
        <w:rPr>
          <w:rFonts w:ascii="Arial" w:hAnsi="Arial" w:cs="Arial"/>
          <w:sz w:val="24"/>
          <w:szCs w:val="24"/>
        </w:rPr>
        <w:t>are</w:t>
      </w:r>
      <w:proofErr w:type="gramEnd"/>
      <w:r w:rsidR="00D31161">
        <w:rPr>
          <w:rFonts w:ascii="Arial" w:hAnsi="Arial" w:cs="Arial"/>
          <w:sz w:val="24"/>
          <w:szCs w:val="24"/>
        </w:rPr>
        <w:t xml:space="preserve"> based on are old-fashioned because we didn’t </w:t>
      </w:r>
      <w:r w:rsidR="00DE091F">
        <w:rPr>
          <w:rFonts w:ascii="Arial" w:hAnsi="Arial" w:cs="Arial"/>
          <w:sz w:val="24"/>
          <w:szCs w:val="24"/>
        </w:rPr>
        <w:t xml:space="preserve">have the ability to test </w:t>
      </w:r>
      <w:r w:rsidR="00D31161">
        <w:rPr>
          <w:rFonts w:ascii="Arial" w:hAnsi="Arial" w:cs="Arial"/>
          <w:sz w:val="24"/>
          <w:szCs w:val="24"/>
        </w:rPr>
        <w:t xml:space="preserve">all the metabolic stuff when they were </w:t>
      </w:r>
      <w:r w:rsidR="00DE091F">
        <w:rPr>
          <w:rFonts w:ascii="Arial" w:hAnsi="Arial" w:cs="Arial"/>
          <w:sz w:val="24"/>
          <w:szCs w:val="24"/>
        </w:rPr>
        <w:t>enshrined in law as what needed to be used.</w:t>
      </w:r>
      <w:r w:rsidR="007C4E70">
        <w:rPr>
          <w:rFonts w:ascii="Arial" w:hAnsi="Arial" w:cs="Arial"/>
          <w:sz w:val="24"/>
          <w:szCs w:val="24"/>
        </w:rPr>
        <w:t xml:space="preserve"> I believe the studies required by the PMRA are still the ones determined in 1984… </w:t>
      </w:r>
      <w:r w:rsidR="001A38B2">
        <w:rPr>
          <w:rFonts w:ascii="Arial" w:hAnsi="Arial" w:cs="Arial"/>
          <w:sz w:val="24"/>
          <w:szCs w:val="24"/>
        </w:rPr>
        <w:t>(</w:t>
      </w:r>
      <w:r w:rsidR="007C4E70">
        <w:rPr>
          <w:rFonts w:ascii="Arial" w:hAnsi="Arial" w:cs="Arial"/>
          <w:sz w:val="24"/>
          <w:szCs w:val="24"/>
        </w:rPr>
        <w:t>Correct me if I am wrong.</w:t>
      </w:r>
      <w:r w:rsidR="001A38B2">
        <w:rPr>
          <w:rFonts w:ascii="Arial" w:hAnsi="Arial" w:cs="Arial"/>
          <w:sz w:val="24"/>
          <w:szCs w:val="24"/>
        </w:rPr>
        <w:t xml:space="preserve">) </w:t>
      </w:r>
      <w:r w:rsidR="00CA1D36">
        <w:rPr>
          <w:rFonts w:ascii="Arial" w:hAnsi="Arial" w:cs="Arial"/>
          <w:sz w:val="24"/>
          <w:szCs w:val="24"/>
        </w:rPr>
        <w:t>In any case, it illustrates to me that</w:t>
      </w:r>
      <w:r w:rsidR="00745CDA">
        <w:rPr>
          <w:rFonts w:ascii="Arial" w:hAnsi="Arial" w:cs="Arial"/>
          <w:sz w:val="24"/>
          <w:szCs w:val="24"/>
        </w:rPr>
        <w:t xml:space="preserve"> only relying on crude </w:t>
      </w:r>
      <w:r w:rsidR="001A38B2">
        <w:rPr>
          <w:rFonts w:ascii="Arial" w:hAnsi="Arial" w:cs="Arial"/>
          <w:sz w:val="24"/>
          <w:szCs w:val="24"/>
        </w:rPr>
        <w:t xml:space="preserve">studies </w:t>
      </w:r>
      <w:r w:rsidR="00745CDA">
        <w:rPr>
          <w:rFonts w:ascii="Arial" w:hAnsi="Arial" w:cs="Arial"/>
          <w:sz w:val="24"/>
          <w:szCs w:val="24"/>
        </w:rPr>
        <w:t xml:space="preserve">with LD50 as end point </w:t>
      </w:r>
      <w:r w:rsidR="001A38B2">
        <w:rPr>
          <w:rFonts w:ascii="Arial" w:hAnsi="Arial" w:cs="Arial"/>
          <w:sz w:val="24"/>
          <w:szCs w:val="24"/>
        </w:rPr>
        <w:t xml:space="preserve">is </w:t>
      </w:r>
      <w:proofErr w:type="gramStart"/>
      <w:r w:rsidR="001A38B2">
        <w:rPr>
          <w:rFonts w:ascii="Arial" w:hAnsi="Arial" w:cs="Arial"/>
          <w:sz w:val="24"/>
          <w:szCs w:val="24"/>
        </w:rPr>
        <w:t>definitely ignoring</w:t>
      </w:r>
      <w:proofErr w:type="gramEnd"/>
      <w:r w:rsidR="001A38B2">
        <w:rPr>
          <w:rFonts w:ascii="Arial" w:hAnsi="Arial" w:cs="Arial"/>
          <w:sz w:val="24"/>
          <w:szCs w:val="24"/>
        </w:rPr>
        <w:t xml:space="preserve"> new science</w:t>
      </w:r>
      <w:r w:rsidR="003E0961">
        <w:rPr>
          <w:rFonts w:ascii="Arial" w:hAnsi="Arial" w:cs="Arial"/>
          <w:sz w:val="24"/>
          <w:szCs w:val="24"/>
        </w:rPr>
        <w:t xml:space="preserve"> rather purposefully. </w:t>
      </w:r>
    </w:p>
    <w:p w14:paraId="781A7143" w14:textId="2DBBAA21" w:rsidR="00B96D82" w:rsidRDefault="00B17E8C">
      <w:pPr>
        <w:rPr>
          <w:rFonts w:ascii="Arial" w:hAnsi="Arial" w:cs="Arial"/>
          <w:b/>
          <w:bCs/>
          <w:sz w:val="24"/>
          <w:szCs w:val="24"/>
        </w:rPr>
      </w:pPr>
      <w:r w:rsidRPr="00B17E8C">
        <w:rPr>
          <w:rFonts w:ascii="Arial" w:hAnsi="Arial" w:cs="Arial"/>
          <w:b/>
          <w:bCs/>
          <w:sz w:val="24"/>
          <w:szCs w:val="24"/>
        </w:rPr>
        <w:t xml:space="preserve">The dose disrupts the pathway: application of Paracelsus principle to mechanistic toxicology Alexander Suvorov </w:t>
      </w:r>
      <w:r w:rsidRPr="00B17E8C">
        <w:rPr>
          <w:rFonts w:ascii="Tahoma" w:hAnsi="Tahoma" w:cs="Tahoma"/>
          <w:b/>
          <w:bCs/>
          <w:sz w:val="24"/>
          <w:szCs w:val="24"/>
        </w:rPr>
        <w:t>�</w:t>
      </w:r>
      <w:r w:rsidRPr="00B17E8C">
        <w:rPr>
          <w:rFonts w:ascii="Arial" w:hAnsi="Arial" w:cs="Arial"/>
          <w:b/>
          <w:bCs/>
          <w:sz w:val="24"/>
          <w:szCs w:val="24"/>
        </w:rPr>
        <w:t xml:space="preserve"> E-mail: </w:t>
      </w:r>
      <w:hyperlink r:id="rId4" w:history="1">
        <w:r w:rsidR="00555423" w:rsidRPr="005A1676">
          <w:rPr>
            <w:rStyle w:val="Hyperlink"/>
            <w:rFonts w:ascii="Arial" w:hAnsi="Arial" w:cs="Arial"/>
            <w:b/>
            <w:bCs/>
            <w:sz w:val="24"/>
            <w:szCs w:val="24"/>
          </w:rPr>
          <w:t>asuvorov@umass.edu</w:t>
        </w:r>
      </w:hyperlink>
      <w:r w:rsidRPr="00B17E8C">
        <w:rPr>
          <w:rFonts w:ascii="Arial" w:hAnsi="Arial" w:cs="Arial"/>
          <w:b/>
          <w:bCs/>
          <w:sz w:val="24"/>
          <w:szCs w:val="24"/>
        </w:rPr>
        <w:t>.</w:t>
      </w:r>
    </w:p>
    <w:p w14:paraId="520F1006" w14:textId="7B7F4419" w:rsidR="00555423" w:rsidRDefault="00555423">
      <w:pPr>
        <w:rPr>
          <w:rFonts w:ascii="Arial" w:hAnsi="Arial" w:cs="Arial"/>
          <w:b/>
          <w:bCs/>
          <w:sz w:val="24"/>
          <w:szCs w:val="24"/>
        </w:rPr>
      </w:pPr>
      <w:r w:rsidRPr="00555423">
        <w:rPr>
          <w:rFonts w:ascii="Arial" w:hAnsi="Arial" w:cs="Arial"/>
          <w:b/>
          <w:bCs/>
          <w:sz w:val="24"/>
          <w:szCs w:val="24"/>
        </w:rPr>
        <w:t>Toxicological Sciences, 2024, 200(2), 228–234 https://doi.org/10.1093/toxsci/kfae059</w:t>
      </w:r>
    </w:p>
    <w:p w14:paraId="29C8C4CC" w14:textId="5468CA89" w:rsidR="006A4C5C" w:rsidRPr="00427269" w:rsidRDefault="006A4C5C">
      <w:pPr>
        <w:rPr>
          <w:rFonts w:ascii="Arial" w:hAnsi="Arial" w:cs="Arial"/>
          <w:sz w:val="24"/>
          <w:szCs w:val="24"/>
        </w:rPr>
      </w:pPr>
      <w:r w:rsidRPr="00427269">
        <w:rPr>
          <w:rFonts w:ascii="Arial" w:hAnsi="Arial" w:cs="Arial"/>
          <w:b/>
          <w:bCs/>
          <w:sz w:val="24"/>
          <w:szCs w:val="24"/>
        </w:rPr>
        <w:t>Abstract</w:t>
      </w:r>
      <w:r w:rsidRPr="00427269">
        <w:rPr>
          <w:rFonts w:ascii="Arial" w:hAnsi="Arial" w:cs="Arial"/>
          <w:sz w:val="24"/>
          <w:szCs w:val="24"/>
        </w:rPr>
        <w:t xml:space="preserve"> Arguably the most famous principle of toxicology is “The dose makes the poison” formulated by Paracelsus in the 16th century. Application of the Paracelsus’s principle to mechanistic toxicology may be challenging as one compound may affect many molecular pathways at different doses with different and often nonlinear dose-response relationships. As a result, many mechanistic studies of environmental and occupational compounds use high doses of xenobiotics motivated by the need to see a clear signal indicating disruption of a particular molecular pathway. This approach ignores the possibility that the same xenobiotic may affect different molecular mechanism(s) at much lower doses relevant to human exposures. To amend mechanistic toxicology with a simple and concise guiding principle, I suggest recontextualization of Paracelsus’s following its letter and spirit: “The dose disrupts the pathway”. Justification of this statement includes observations that many environmental and occupational xenobiotics affect a broad range of molecular cascades, that most molecular pathways are sensitive to chemical exposures, and that different molecular pathways are sensitive to different doses of a chemical compound. I suggest that this statement may become a useful guidance and educational tool in a range of toxicological applications, including experimental design, comparative analysis of mechanistic hypotheses, evaluation of the quality of toxicological studies, and risk assessment</w:t>
      </w:r>
    </w:p>
    <w:p w14:paraId="2F711BFA" w14:textId="5374C457" w:rsidR="006A4C5C" w:rsidRPr="00427269" w:rsidRDefault="000E0122">
      <w:pPr>
        <w:rPr>
          <w:rFonts w:ascii="Arial" w:hAnsi="Arial" w:cs="Arial"/>
          <w:sz w:val="24"/>
          <w:szCs w:val="24"/>
        </w:rPr>
      </w:pPr>
      <w:r>
        <w:rPr>
          <w:rFonts w:ascii="Arial" w:hAnsi="Arial" w:cs="Arial"/>
          <w:b/>
          <w:bCs/>
          <w:sz w:val="24"/>
          <w:szCs w:val="24"/>
        </w:rPr>
        <w:t xml:space="preserve">Highlight </w:t>
      </w:r>
      <w:r w:rsidR="006A4C5C" w:rsidRPr="00427269">
        <w:rPr>
          <w:rFonts w:ascii="Arial" w:hAnsi="Arial" w:cs="Arial"/>
          <w:b/>
          <w:bCs/>
          <w:sz w:val="24"/>
          <w:szCs w:val="24"/>
        </w:rPr>
        <w:t>quotes</w:t>
      </w:r>
      <w:r w:rsidR="006A4C5C" w:rsidRPr="00427269">
        <w:rPr>
          <w:rFonts w:ascii="Arial" w:hAnsi="Arial" w:cs="Arial"/>
          <w:sz w:val="24"/>
          <w:szCs w:val="24"/>
        </w:rPr>
        <w:t>:</w:t>
      </w:r>
    </w:p>
    <w:p w14:paraId="58C66699" w14:textId="7B70CEBD" w:rsidR="00B22F6B" w:rsidRPr="00427269" w:rsidRDefault="00B22F6B">
      <w:pPr>
        <w:rPr>
          <w:rFonts w:ascii="Arial" w:hAnsi="Arial" w:cs="Arial"/>
          <w:sz w:val="24"/>
          <w:szCs w:val="24"/>
        </w:rPr>
      </w:pPr>
      <w:r w:rsidRPr="00427269">
        <w:rPr>
          <w:rFonts w:ascii="Arial" w:hAnsi="Arial" w:cs="Arial"/>
          <w:sz w:val="24"/>
          <w:szCs w:val="24"/>
        </w:rPr>
        <w:t xml:space="preserve">For example, the US EPA </w:t>
      </w:r>
      <w:proofErr w:type="spellStart"/>
      <w:r w:rsidRPr="00427269">
        <w:rPr>
          <w:rFonts w:ascii="Arial" w:hAnsi="Arial" w:cs="Arial"/>
          <w:sz w:val="24"/>
          <w:szCs w:val="24"/>
        </w:rPr>
        <w:t>ToxCast</w:t>
      </w:r>
      <w:proofErr w:type="spellEnd"/>
      <w:r w:rsidRPr="00427269">
        <w:rPr>
          <w:rFonts w:ascii="Arial" w:hAnsi="Arial" w:cs="Arial"/>
          <w:sz w:val="24"/>
          <w:szCs w:val="24"/>
        </w:rPr>
        <w:t>/Tox21 program/database</w:t>
      </w:r>
      <w:r w:rsidR="00B96D82">
        <w:rPr>
          <w:rFonts w:ascii="Arial" w:hAnsi="Arial" w:cs="Arial"/>
          <w:sz w:val="24"/>
          <w:szCs w:val="24"/>
        </w:rPr>
        <w:t xml:space="preserve"> (</w:t>
      </w:r>
      <w:hyperlink r:id="rId5" w:history="1">
        <w:r w:rsidR="00B96D82" w:rsidRPr="005A1676">
          <w:rPr>
            <w:rStyle w:val="Hyperlink"/>
            <w:rFonts w:ascii="Arial" w:hAnsi="Arial" w:cs="Arial"/>
            <w:sz w:val="24"/>
            <w:szCs w:val="24"/>
          </w:rPr>
          <w:t>https://www.epa.gov/chemical-research/toxicology-testing-21st-century-tox21</w:t>
        </w:r>
      </w:hyperlink>
      <w:r w:rsidR="00B96D82">
        <w:rPr>
          <w:rFonts w:ascii="Arial" w:hAnsi="Arial" w:cs="Arial"/>
          <w:sz w:val="24"/>
          <w:szCs w:val="24"/>
        </w:rPr>
        <w:t xml:space="preserve"> )</w:t>
      </w:r>
      <w:r w:rsidRPr="00427269">
        <w:rPr>
          <w:rFonts w:ascii="Arial" w:hAnsi="Arial" w:cs="Arial"/>
          <w:sz w:val="24"/>
          <w:szCs w:val="24"/>
        </w:rPr>
        <w:t xml:space="preserve"> employees robotized </w:t>
      </w:r>
      <w:proofErr w:type="spellStart"/>
      <w:r w:rsidRPr="00427269">
        <w:rPr>
          <w:rFonts w:ascii="Arial" w:hAnsi="Arial" w:cs="Arial"/>
          <w:sz w:val="24"/>
          <w:szCs w:val="24"/>
        </w:rPr>
        <w:t>highthroughput</w:t>
      </w:r>
      <w:proofErr w:type="spellEnd"/>
      <w:r w:rsidRPr="00427269">
        <w:rPr>
          <w:rFonts w:ascii="Arial" w:hAnsi="Arial" w:cs="Arial"/>
          <w:sz w:val="24"/>
          <w:szCs w:val="24"/>
        </w:rPr>
        <w:t xml:space="preserve"> screening for mechanism-based toxicity prediction and provides data from over 1400 in vitro assays measuring changes in biological targets in response to around 10 000 chemicals (Jeong et al., 2022). Additionally, a broad range of new in vitro human-cell-based models including, cell co-culturing, 3D cell </w:t>
      </w:r>
      <w:r w:rsidRPr="00427269">
        <w:rPr>
          <w:rFonts w:ascii="Arial" w:hAnsi="Arial" w:cs="Arial"/>
          <w:sz w:val="24"/>
          <w:szCs w:val="24"/>
        </w:rPr>
        <w:lastRenderedPageBreak/>
        <w:t>cultures, organoids, and organs-on-chip are being developed and incorporated in toxicity testing (Vashishat et al., 2024).</w:t>
      </w:r>
    </w:p>
    <w:p w14:paraId="24ED0FF1" w14:textId="4680EBF7" w:rsidR="008150DC" w:rsidRPr="00427269" w:rsidRDefault="008150DC">
      <w:pPr>
        <w:rPr>
          <w:rFonts w:ascii="Arial" w:hAnsi="Arial" w:cs="Arial"/>
          <w:sz w:val="24"/>
          <w:szCs w:val="24"/>
        </w:rPr>
      </w:pPr>
      <w:r w:rsidRPr="00427269">
        <w:rPr>
          <w:rFonts w:ascii="Arial" w:hAnsi="Arial" w:cs="Arial"/>
          <w:sz w:val="24"/>
          <w:szCs w:val="24"/>
        </w:rPr>
        <w:t>Additionally, new high-throughput -omics methods allowed the development of toxicological tools for the screening of all in a class (gene expression, protein expression and phosphorylation, DNA methylation, etc.) molecular perturbations in the target tissue in one experiment. In recent decades, these approaches, along with the development of modeling instruments provided an opportunity for dose-response analyses at the level of molecular pathway/biological category (</w:t>
      </w:r>
      <w:proofErr w:type="spellStart"/>
      <w:r w:rsidRPr="00427269">
        <w:rPr>
          <w:rFonts w:ascii="Arial" w:hAnsi="Arial" w:cs="Arial"/>
          <w:sz w:val="24"/>
          <w:szCs w:val="24"/>
        </w:rPr>
        <w:t>Lobenhofer</w:t>
      </w:r>
      <w:proofErr w:type="spellEnd"/>
      <w:r w:rsidRPr="00427269">
        <w:rPr>
          <w:rFonts w:ascii="Arial" w:hAnsi="Arial" w:cs="Arial"/>
          <w:sz w:val="24"/>
          <w:szCs w:val="24"/>
        </w:rPr>
        <w:t xml:space="preserve"> et al., 2004; Thomas et al., 2007; Tsai et al., 2024).</w:t>
      </w:r>
    </w:p>
    <w:p w14:paraId="211F087E" w14:textId="1035EB27" w:rsidR="00033899" w:rsidRPr="00427269" w:rsidRDefault="00033899">
      <w:pPr>
        <w:rPr>
          <w:rFonts w:ascii="Arial" w:hAnsi="Arial" w:cs="Arial"/>
          <w:sz w:val="24"/>
          <w:szCs w:val="24"/>
        </w:rPr>
      </w:pPr>
      <w:r w:rsidRPr="00427269">
        <w:rPr>
          <w:rFonts w:ascii="Arial" w:hAnsi="Arial" w:cs="Arial"/>
          <w:sz w:val="24"/>
          <w:szCs w:val="24"/>
          <w:u w:val="single"/>
        </w:rPr>
        <w:t>The shift of the focus of toxicology from crude toxicity endpoints measured at the level of organs/organisms to molecular mechanisms with different DRR complicates application of the Paracelsus’s principle.</w:t>
      </w:r>
      <w:r w:rsidRPr="00427269">
        <w:rPr>
          <w:rFonts w:ascii="Arial" w:hAnsi="Arial" w:cs="Arial"/>
          <w:sz w:val="24"/>
          <w:szCs w:val="24"/>
        </w:rPr>
        <w:t xml:space="preserve"> This complexity is still often ignored in the design and interpretation of toxicological experiments, and today many toxicological studies of environmental and occupational compounds use high doses of xenobiotics motivated by the need to see a clear effect on a molecular mechanism (Suvorov and Takser, 2008). This approach ignores the possibility that the same xenobiotic may affect completely different molecular mechanism(s) at much lower doses relevant to human exposures. Such studies may generate a false belief that the molecular mechanisms of toxicity of a specific compound have been discovered, whereas in the human population, toxicities at much lower doses are induced via different pathway(s).</w:t>
      </w:r>
    </w:p>
    <w:p w14:paraId="185B64ED" w14:textId="1632A1AD" w:rsidR="0012478C" w:rsidRPr="00427269" w:rsidRDefault="00EF2806">
      <w:pPr>
        <w:rPr>
          <w:rFonts w:ascii="Arial" w:hAnsi="Arial" w:cs="Arial"/>
          <w:sz w:val="24"/>
          <w:szCs w:val="24"/>
        </w:rPr>
      </w:pPr>
      <w:r w:rsidRPr="00427269">
        <w:rPr>
          <w:rFonts w:ascii="Arial" w:hAnsi="Arial" w:cs="Arial"/>
          <w:sz w:val="24"/>
          <w:szCs w:val="24"/>
        </w:rPr>
        <w:t>almost every known molecular pathway may be affected by chemical exposures</w:t>
      </w:r>
    </w:p>
    <w:p w14:paraId="684DED0C" w14:textId="6476D043" w:rsidR="00E86D62" w:rsidRPr="00427269" w:rsidRDefault="00E86D62">
      <w:pPr>
        <w:rPr>
          <w:rFonts w:ascii="Arial" w:hAnsi="Arial" w:cs="Arial"/>
          <w:sz w:val="24"/>
          <w:szCs w:val="24"/>
        </w:rPr>
      </w:pPr>
      <w:r w:rsidRPr="00427269">
        <w:rPr>
          <w:rFonts w:ascii="Arial" w:hAnsi="Arial" w:cs="Arial"/>
          <w:sz w:val="24"/>
          <w:szCs w:val="24"/>
        </w:rPr>
        <w:t>Although many xenobiotics may affect multiple molecular mechanisms, the dose triggering these changes may be different for each pathway.</w:t>
      </w:r>
    </w:p>
    <w:p w14:paraId="37377E10" w14:textId="65A7460E" w:rsidR="009842D1" w:rsidRPr="00427269" w:rsidRDefault="009842D1">
      <w:pPr>
        <w:rPr>
          <w:rFonts w:ascii="Arial" w:hAnsi="Arial" w:cs="Arial"/>
          <w:sz w:val="24"/>
          <w:szCs w:val="24"/>
        </w:rPr>
      </w:pPr>
      <w:r w:rsidRPr="00427269">
        <w:rPr>
          <w:rFonts w:ascii="Arial" w:hAnsi="Arial" w:cs="Arial"/>
          <w:sz w:val="24"/>
          <w:szCs w:val="24"/>
        </w:rPr>
        <w:t>The proposed principle generally guides us that to establish the specific molecular mechanism(s) responsible for human health effects, experiments should be designed to achieve concentrations of the compound at the target tissue/cells or in blood as close as possible to the concentrations in these sites in exposed humans</w:t>
      </w:r>
    </w:p>
    <w:p w14:paraId="2DA025B5" w14:textId="31361BB7" w:rsidR="00EC5B40" w:rsidRPr="00427269" w:rsidRDefault="00EC5B40">
      <w:pPr>
        <w:rPr>
          <w:rFonts w:ascii="Arial" w:hAnsi="Arial" w:cs="Arial"/>
          <w:sz w:val="24"/>
          <w:szCs w:val="24"/>
        </w:rPr>
      </w:pPr>
      <w:r w:rsidRPr="00427269">
        <w:rPr>
          <w:rFonts w:ascii="Arial" w:hAnsi="Arial" w:cs="Arial"/>
          <w:sz w:val="24"/>
          <w:szCs w:val="24"/>
        </w:rPr>
        <w:t>For a better understanding of the role of each mechanism, I suggest using exposure doses as a criterion that may help prioritize mechanisms by their relevance. Indeed, the ability of a chemical to affect some molecular mechanism at a dose corresponding to exposures of the general population is an indicator that these mechanisms may be causatively involved in the development of observed adverse health outcomes</w:t>
      </w:r>
    </w:p>
    <w:p w14:paraId="0461BA9B" w14:textId="5D3777C7" w:rsidR="00AB091A" w:rsidRPr="00427269" w:rsidRDefault="00AB091A">
      <w:pPr>
        <w:rPr>
          <w:rFonts w:ascii="Arial" w:hAnsi="Arial" w:cs="Arial"/>
          <w:sz w:val="24"/>
          <w:szCs w:val="24"/>
        </w:rPr>
      </w:pPr>
      <w:r w:rsidRPr="00427269">
        <w:rPr>
          <w:rFonts w:ascii="Arial" w:hAnsi="Arial" w:cs="Arial"/>
          <w:sz w:val="24"/>
          <w:szCs w:val="24"/>
        </w:rPr>
        <w:t xml:space="preserve"> </w:t>
      </w:r>
      <w:r w:rsidRPr="00427269">
        <w:rPr>
          <w:rFonts w:ascii="Arial" w:hAnsi="Arial" w:cs="Arial"/>
          <w:sz w:val="24"/>
          <w:szCs w:val="24"/>
          <w:u w:val="single"/>
        </w:rPr>
        <w:t>if only a high dose was shown to induce toxicity via the pathway, it is impossible to infer without additional experiments that the same pathway mediates adverse effects in the population exposed to lower doses</w:t>
      </w:r>
      <w:r w:rsidRPr="00427269">
        <w:rPr>
          <w:rFonts w:ascii="Arial" w:hAnsi="Arial" w:cs="Arial"/>
          <w:sz w:val="24"/>
          <w:szCs w:val="24"/>
        </w:rPr>
        <w:t>. Additionally, high-dose studies may mislead our understanding of the chain of causative events linking exposures with health outcomes via wrong pathways.</w:t>
      </w:r>
    </w:p>
    <w:p w14:paraId="20DE1F33" w14:textId="77777777" w:rsidR="00427269" w:rsidRPr="00427269" w:rsidRDefault="00404914">
      <w:pPr>
        <w:rPr>
          <w:rFonts w:ascii="Arial" w:hAnsi="Arial" w:cs="Arial"/>
          <w:b/>
          <w:bCs/>
          <w:sz w:val="24"/>
          <w:szCs w:val="24"/>
        </w:rPr>
      </w:pPr>
      <w:r w:rsidRPr="00427269">
        <w:rPr>
          <w:rFonts w:ascii="Arial" w:hAnsi="Arial" w:cs="Arial"/>
          <w:b/>
          <w:bCs/>
          <w:sz w:val="24"/>
          <w:szCs w:val="24"/>
        </w:rPr>
        <w:t>Risk assessment</w:t>
      </w:r>
    </w:p>
    <w:p w14:paraId="4B25D5AC" w14:textId="199CC198" w:rsidR="00404914" w:rsidRPr="00427269" w:rsidRDefault="00404914">
      <w:pPr>
        <w:rPr>
          <w:rFonts w:ascii="Arial" w:hAnsi="Arial" w:cs="Arial"/>
          <w:sz w:val="24"/>
          <w:szCs w:val="24"/>
        </w:rPr>
      </w:pPr>
      <w:r w:rsidRPr="00427269">
        <w:rPr>
          <w:rFonts w:ascii="Arial" w:hAnsi="Arial" w:cs="Arial"/>
          <w:sz w:val="24"/>
          <w:szCs w:val="24"/>
        </w:rPr>
        <w:lastRenderedPageBreak/>
        <w:t xml:space="preserve"> To overcome the significant challenge of a rapidly growing number of chemicals requiring toxicity testing (Escher et al., 2020), in recent decades, regulatory toxicology has begun a rapid transformation outlined in a strategic vision of the National Research Council (NRC, 2007). Among other components, these changes include a transition from animal-based tests to in vitro tests, targeting individual molecular mechanisms (Ankley et al., 2010; Haynes, 2010; OECD, 2017; </w:t>
      </w:r>
      <w:proofErr w:type="spellStart"/>
      <w:r w:rsidRPr="00427269">
        <w:rPr>
          <w:rFonts w:ascii="Arial" w:hAnsi="Arial" w:cs="Arial"/>
          <w:sz w:val="24"/>
          <w:szCs w:val="24"/>
        </w:rPr>
        <w:t>Vinken</w:t>
      </w:r>
      <w:proofErr w:type="spellEnd"/>
      <w:r w:rsidRPr="00427269">
        <w:rPr>
          <w:rFonts w:ascii="Arial" w:hAnsi="Arial" w:cs="Arial"/>
          <w:sz w:val="24"/>
          <w:szCs w:val="24"/>
        </w:rPr>
        <w:t>, 2013). This shift from the testing of health endpoints to the analysis of molecular mechanisms inducing toxicity makes the “the dose disrupts the pathway” principle specifically important for risk assessment</w:t>
      </w:r>
    </w:p>
    <w:sectPr w:rsidR="00404914" w:rsidRPr="0042726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BFD"/>
    <w:rsid w:val="00033899"/>
    <w:rsid w:val="000E0122"/>
    <w:rsid w:val="0012478C"/>
    <w:rsid w:val="001A38B2"/>
    <w:rsid w:val="002F2533"/>
    <w:rsid w:val="003B5BFD"/>
    <w:rsid w:val="003E0961"/>
    <w:rsid w:val="00404914"/>
    <w:rsid w:val="00427269"/>
    <w:rsid w:val="00555423"/>
    <w:rsid w:val="00695BB6"/>
    <w:rsid w:val="006A4C5C"/>
    <w:rsid w:val="00745CDA"/>
    <w:rsid w:val="007C4E70"/>
    <w:rsid w:val="008150DC"/>
    <w:rsid w:val="009842D1"/>
    <w:rsid w:val="00AB091A"/>
    <w:rsid w:val="00B17E8C"/>
    <w:rsid w:val="00B22F6B"/>
    <w:rsid w:val="00B630FA"/>
    <w:rsid w:val="00B96D82"/>
    <w:rsid w:val="00BA740A"/>
    <w:rsid w:val="00BF0DB2"/>
    <w:rsid w:val="00CA1D36"/>
    <w:rsid w:val="00D31161"/>
    <w:rsid w:val="00D94C4A"/>
    <w:rsid w:val="00DA3B53"/>
    <w:rsid w:val="00DE091F"/>
    <w:rsid w:val="00E54286"/>
    <w:rsid w:val="00E86D62"/>
    <w:rsid w:val="00EC5B40"/>
    <w:rsid w:val="00EF2806"/>
    <w:rsid w:val="00FA1D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2074E"/>
  <w15:chartTrackingRefBased/>
  <w15:docId w15:val="{EF5AE4CB-4EAF-4E48-B79A-D3A80E8B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5B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5B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5B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5B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5B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5B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5B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5B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5B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B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5B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5B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5B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5B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5B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5B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5B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5BFD"/>
    <w:rPr>
      <w:rFonts w:eastAsiaTheme="majorEastAsia" w:cstheme="majorBidi"/>
      <w:color w:val="272727" w:themeColor="text1" w:themeTint="D8"/>
    </w:rPr>
  </w:style>
  <w:style w:type="paragraph" w:styleId="Title">
    <w:name w:val="Title"/>
    <w:basedOn w:val="Normal"/>
    <w:next w:val="Normal"/>
    <w:link w:val="TitleChar"/>
    <w:uiPriority w:val="10"/>
    <w:qFormat/>
    <w:rsid w:val="003B5B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5B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5B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5B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5BFD"/>
    <w:pPr>
      <w:spacing w:before="160"/>
      <w:jc w:val="center"/>
    </w:pPr>
    <w:rPr>
      <w:i/>
      <w:iCs/>
      <w:color w:val="404040" w:themeColor="text1" w:themeTint="BF"/>
    </w:rPr>
  </w:style>
  <w:style w:type="character" w:customStyle="1" w:styleId="QuoteChar">
    <w:name w:val="Quote Char"/>
    <w:basedOn w:val="DefaultParagraphFont"/>
    <w:link w:val="Quote"/>
    <w:uiPriority w:val="29"/>
    <w:rsid w:val="003B5BFD"/>
    <w:rPr>
      <w:i/>
      <w:iCs/>
      <w:color w:val="404040" w:themeColor="text1" w:themeTint="BF"/>
    </w:rPr>
  </w:style>
  <w:style w:type="paragraph" w:styleId="ListParagraph">
    <w:name w:val="List Paragraph"/>
    <w:basedOn w:val="Normal"/>
    <w:uiPriority w:val="34"/>
    <w:qFormat/>
    <w:rsid w:val="003B5BFD"/>
    <w:pPr>
      <w:ind w:left="720"/>
      <w:contextualSpacing/>
    </w:pPr>
  </w:style>
  <w:style w:type="character" w:styleId="IntenseEmphasis">
    <w:name w:val="Intense Emphasis"/>
    <w:basedOn w:val="DefaultParagraphFont"/>
    <w:uiPriority w:val="21"/>
    <w:qFormat/>
    <w:rsid w:val="003B5BFD"/>
    <w:rPr>
      <w:i/>
      <w:iCs/>
      <w:color w:val="2F5496" w:themeColor="accent1" w:themeShade="BF"/>
    </w:rPr>
  </w:style>
  <w:style w:type="paragraph" w:styleId="IntenseQuote">
    <w:name w:val="Intense Quote"/>
    <w:basedOn w:val="Normal"/>
    <w:next w:val="Normal"/>
    <w:link w:val="IntenseQuoteChar"/>
    <w:uiPriority w:val="30"/>
    <w:qFormat/>
    <w:rsid w:val="003B5B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5BFD"/>
    <w:rPr>
      <w:i/>
      <w:iCs/>
      <w:color w:val="2F5496" w:themeColor="accent1" w:themeShade="BF"/>
    </w:rPr>
  </w:style>
  <w:style w:type="character" w:styleId="IntenseReference">
    <w:name w:val="Intense Reference"/>
    <w:basedOn w:val="DefaultParagraphFont"/>
    <w:uiPriority w:val="32"/>
    <w:qFormat/>
    <w:rsid w:val="003B5BFD"/>
    <w:rPr>
      <w:b/>
      <w:bCs/>
      <w:smallCaps/>
      <w:color w:val="2F5496" w:themeColor="accent1" w:themeShade="BF"/>
      <w:spacing w:val="5"/>
    </w:rPr>
  </w:style>
  <w:style w:type="character" w:styleId="Hyperlink">
    <w:name w:val="Hyperlink"/>
    <w:basedOn w:val="DefaultParagraphFont"/>
    <w:uiPriority w:val="99"/>
    <w:unhideWhenUsed/>
    <w:rsid w:val="00B96D82"/>
    <w:rPr>
      <w:color w:val="0563C1" w:themeColor="hyperlink"/>
      <w:u w:val="single"/>
    </w:rPr>
  </w:style>
  <w:style w:type="character" w:styleId="UnresolvedMention">
    <w:name w:val="Unresolved Mention"/>
    <w:basedOn w:val="DefaultParagraphFont"/>
    <w:uiPriority w:val="99"/>
    <w:semiHidden/>
    <w:unhideWhenUsed/>
    <w:rsid w:val="00B96D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pa.gov/chemical-research/toxicology-testing-21st-century-tox21" TargetMode="External"/><Relationship Id="rId4" Type="http://schemas.openxmlformats.org/officeDocument/2006/relationships/hyperlink" Target="mailto:asuvorov@umas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981</Words>
  <Characters>5596</Characters>
  <Application>Microsoft Office Word</Application>
  <DocSecurity>0</DocSecurity>
  <Lines>46</Lines>
  <Paragraphs>13</Paragraphs>
  <ScaleCrop>false</ScaleCrop>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 Hjertaas</dc:creator>
  <cp:keywords/>
  <dc:description/>
  <cp:lastModifiedBy>Paule Hjertaas</cp:lastModifiedBy>
  <cp:revision>2</cp:revision>
  <dcterms:created xsi:type="dcterms:W3CDTF">2025-09-29T11:55:00Z</dcterms:created>
  <dcterms:modified xsi:type="dcterms:W3CDTF">2025-09-29T11:55:00Z</dcterms:modified>
</cp:coreProperties>
</file>